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C32967" w:rsidRPr="00C9792F" w:rsidRDefault="00A95143" w:rsidP="00C32967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</w:rPr>
        <w:t xml:space="preserve">II/360 </w:t>
      </w:r>
      <w:r w:rsidR="00C32967" w:rsidRPr="00D04FE5">
        <w:rPr>
          <w:rFonts w:ascii="Arial" w:hAnsi="Arial" w:cs="Arial"/>
          <w:b/>
        </w:rPr>
        <w:t>Trnava - Rudíkov část 2, homogenizace úseku silnice mezi Třebíčí a D1</w:t>
      </w:r>
      <w:r>
        <w:rPr>
          <w:rFonts w:ascii="Arial" w:hAnsi="Arial" w:cs="Arial"/>
          <w:b/>
        </w:rPr>
        <w:t>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35910EBB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42</cp:revision>
  <cp:lastPrinted>2010-05-24T13:35:00Z</cp:lastPrinted>
  <dcterms:created xsi:type="dcterms:W3CDTF">2018-01-18T14:08:00Z</dcterms:created>
  <dcterms:modified xsi:type="dcterms:W3CDTF">2025-02-17T14:10:00Z</dcterms:modified>
</cp:coreProperties>
</file>